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0DE" w:rsidRPr="006C70DE" w:rsidRDefault="006C70DE" w:rsidP="006C70DE">
      <w:pPr>
        <w:shd w:val="clear" w:color="auto" w:fill="FFFFFF"/>
        <w:rPr>
          <w:rFonts w:ascii="Arial" w:eastAsia="Times New Roman" w:hAnsi="Arial" w:cs="Arial"/>
          <w:color w:val="000000"/>
        </w:rPr>
      </w:pPr>
      <w:r w:rsidRPr="006C70DE">
        <w:rPr>
          <w:rFonts w:ascii="Arial" w:eastAsia="Times New Roman" w:hAnsi="Arial" w:cs="Arial"/>
          <w:color w:val="000000"/>
        </w:rPr>
        <w:t>Prior to 1996, no person could be removed from the United States without a full hearing before an immigration judge, with the right to administrative and judicial review. However, in 1996, Congress amended the INA to provide for “expedited removal,” allowing certain persons who are seeking admission to the United States or who have entered the country without inspection to be summarily removed without a hearing or any process other than a cursory inspection by an immigration officer. </w:t>
      </w:r>
      <w:r w:rsidRPr="006C70DE">
        <w:rPr>
          <w:rFonts w:ascii="Arial" w:eastAsia="Times New Roman" w:hAnsi="Arial" w:cs="Arial"/>
          <w:i/>
          <w:iCs/>
          <w:color w:val="000000"/>
        </w:rPr>
        <w:t>See</w:t>
      </w:r>
      <w:r w:rsidRPr="006C70DE">
        <w:rPr>
          <w:rFonts w:ascii="Arial" w:eastAsia="Times New Roman" w:hAnsi="Arial" w:cs="Arial"/>
          <w:color w:val="000000"/>
        </w:rPr>
        <w:t> 8 U.S.C. §§ 1225(b)(1)(A)(</w:t>
      </w:r>
      <w:proofErr w:type="spellStart"/>
      <w:r w:rsidRPr="006C70DE">
        <w:rPr>
          <w:rFonts w:ascii="Arial" w:eastAsia="Times New Roman" w:hAnsi="Arial" w:cs="Arial"/>
          <w:color w:val="000000"/>
        </w:rPr>
        <w:t>i</w:t>
      </w:r>
      <w:proofErr w:type="spellEnd"/>
      <w:r w:rsidRPr="006C70DE">
        <w:rPr>
          <w:rFonts w:ascii="Arial" w:eastAsia="Times New Roman" w:hAnsi="Arial" w:cs="Arial"/>
          <w:color w:val="000000"/>
        </w:rPr>
        <w:t>), (A)(iii); Designating Aliens for Expedited Removal, 69 Fed. Reg. 48,877 (Aug. 11, 2004).</w:t>
      </w:r>
    </w:p>
    <w:p w:rsidR="006C70DE" w:rsidRPr="006C70DE" w:rsidRDefault="006C70DE" w:rsidP="006C70DE">
      <w:pPr>
        <w:shd w:val="clear" w:color="auto" w:fill="FFFFFF"/>
        <w:rPr>
          <w:rFonts w:ascii="Arial" w:eastAsia="Times New Roman" w:hAnsi="Arial" w:cs="Arial"/>
          <w:color w:val="000000"/>
        </w:rPr>
      </w:pPr>
      <w:r w:rsidRPr="006C70DE">
        <w:rPr>
          <w:rFonts w:ascii="Arial" w:eastAsia="Times New Roman" w:hAnsi="Arial" w:cs="Arial"/>
          <w:color w:val="000000"/>
        </w:rPr>
        <w:t>Congress specifically provided for judicial review of the expedited removal “system,” granting jurisdiction to this Court to review any claim that a written policy “directive,” “guideline,” “procedure” or “regulation” implementing expedited removal is “not consistent with the applicable provisions of this title or is otherwise in violation of law.” 8 U.S.C. § 1252(e)(3).</w:t>
      </w:r>
    </w:p>
    <w:p w:rsidR="006C70DE" w:rsidRPr="006C70DE" w:rsidRDefault="006C70DE" w:rsidP="006C70DE">
      <w:pPr>
        <w:shd w:val="clear" w:color="auto" w:fill="FFFFFF"/>
        <w:rPr>
          <w:rFonts w:ascii="Arial" w:eastAsia="Times New Roman" w:hAnsi="Arial" w:cs="Arial"/>
          <w:color w:val="000000"/>
        </w:rPr>
      </w:pPr>
      <w:r w:rsidRPr="006C70DE">
        <w:rPr>
          <w:rFonts w:ascii="Arial" w:eastAsia="Times New Roman" w:hAnsi="Arial" w:cs="Arial"/>
          <w:color w:val="000000"/>
        </w:rPr>
        <w:t>A critical part of the expedited removal process is the exception that Congress carved out for individuals with a “credible fear” of persecution. If an individual indicates any fear of return to his or her home country, the immigration officer must refer the individual for an interview with a USCIS asylum officer to assess whether the applicant has a credible fear of persecution or torture. </w:t>
      </w:r>
      <w:r w:rsidRPr="006C70DE">
        <w:rPr>
          <w:rFonts w:ascii="Arial" w:eastAsia="Times New Roman" w:hAnsi="Arial" w:cs="Arial"/>
          <w:i/>
          <w:iCs/>
          <w:color w:val="000000"/>
        </w:rPr>
        <w:t>See</w:t>
      </w:r>
      <w:r w:rsidRPr="006C70DE">
        <w:rPr>
          <w:rFonts w:ascii="Arial" w:eastAsia="Times New Roman" w:hAnsi="Arial" w:cs="Arial"/>
          <w:color w:val="000000"/>
        </w:rPr>
        <w:t> 8 C.F.R. § 208.30; 8 U.S.C. § 1225(b)(1)(A)(ii); 8 C.F.R. § 235.3(b)(4); 8 U.S.C. § 1225(b)(1)(B). If the asylum officer finds that that the individual does have a “credible fear,” meaning a “significant possibility” of eligibility for asylum, the individual is taken out of the expedited removal process and referred for a regular removal hea</w:t>
      </w:r>
      <w:bookmarkStart w:id="0" w:name="_GoBack"/>
      <w:bookmarkEnd w:id="0"/>
      <w:r w:rsidRPr="006C70DE">
        <w:rPr>
          <w:rFonts w:ascii="Arial" w:eastAsia="Times New Roman" w:hAnsi="Arial" w:cs="Arial"/>
          <w:color w:val="000000"/>
        </w:rPr>
        <w:t>ring before an immigration judge. </w:t>
      </w:r>
      <w:r w:rsidRPr="006C70DE">
        <w:rPr>
          <w:rFonts w:ascii="Arial" w:eastAsia="Times New Roman" w:hAnsi="Arial" w:cs="Arial"/>
          <w:i/>
          <w:iCs/>
          <w:color w:val="000000"/>
        </w:rPr>
        <w:t>See</w:t>
      </w:r>
      <w:r w:rsidRPr="006C70DE">
        <w:rPr>
          <w:rFonts w:ascii="Arial" w:eastAsia="Times New Roman" w:hAnsi="Arial" w:cs="Arial"/>
          <w:color w:val="000000"/>
        </w:rPr>
        <w:t> 8 U.S.C. § 1225(b)(1)(B)(ii), (v). At such a hearing, the individual will have the opportunity to develop a full record with respect to his or her asylum claim, and an adverse decision may be appealed to the Board of Immigration Appeals (“BIA”) and the federal court of appeals. 8 C.F.R. § 208.30(f); </w:t>
      </w:r>
      <w:r w:rsidRPr="006C70DE">
        <w:rPr>
          <w:rFonts w:ascii="Arial" w:eastAsia="Times New Roman" w:hAnsi="Arial" w:cs="Arial"/>
          <w:i/>
          <w:iCs/>
          <w:color w:val="000000"/>
        </w:rPr>
        <w:t>see also</w:t>
      </w:r>
      <w:r w:rsidRPr="006C70DE">
        <w:rPr>
          <w:rFonts w:ascii="Arial" w:eastAsia="Times New Roman" w:hAnsi="Arial" w:cs="Arial"/>
          <w:color w:val="000000"/>
        </w:rPr>
        <w:t> 8 U.S.C. § 1225(b)(1)(B)(ii); 8 U.S.C. §§ 1229, 1229a.</w:t>
      </w:r>
    </w:p>
    <w:p w:rsidR="006C70DE" w:rsidRPr="006C70DE" w:rsidRDefault="006C70DE" w:rsidP="006C70DE">
      <w:pPr>
        <w:shd w:val="clear" w:color="auto" w:fill="FFFFFF"/>
        <w:rPr>
          <w:rFonts w:ascii="Arial" w:eastAsia="Times New Roman" w:hAnsi="Arial" w:cs="Arial"/>
          <w:color w:val="000000"/>
        </w:rPr>
      </w:pPr>
      <w:r w:rsidRPr="006C70DE">
        <w:rPr>
          <w:rFonts w:ascii="Arial" w:eastAsia="Times New Roman" w:hAnsi="Arial" w:cs="Arial"/>
          <w:color w:val="000000"/>
        </w:rPr>
        <w:t>If the asylum officer makes a negative credible fear determination, the individual may request review by an immigration judge. That abbreviated review is only of the negative credible fear determination (not ultimate eligibility for asylum) and does not include the procedural protections of a regular immigration court removal proceeding. 8 U.S.C. § 1225(b)(1)(B)(iii)(III); </w:t>
      </w:r>
      <w:r w:rsidRPr="006C70DE">
        <w:rPr>
          <w:rFonts w:ascii="Arial" w:eastAsia="Times New Roman" w:hAnsi="Arial" w:cs="Arial"/>
          <w:i/>
          <w:iCs/>
          <w:color w:val="000000"/>
        </w:rPr>
        <w:t>see also</w:t>
      </w:r>
      <w:r w:rsidRPr="006C70DE">
        <w:rPr>
          <w:rFonts w:ascii="Arial" w:eastAsia="Times New Roman" w:hAnsi="Arial" w:cs="Arial"/>
          <w:color w:val="000000"/>
        </w:rPr>
        <w:t> 8 C.F.R. § 208.30(g)(1). The immigration judge's decision is “final and may not be appealed.” 8 C.F.R. § 1208.30(g)(2)(iv)(A).</w:t>
      </w:r>
    </w:p>
    <w:p w:rsidR="006C70DE" w:rsidRPr="006C70DE" w:rsidRDefault="006C70DE" w:rsidP="006C70DE">
      <w:pPr>
        <w:shd w:val="clear" w:color="auto" w:fill="FFFFFF"/>
        <w:rPr>
          <w:rFonts w:ascii="Arial" w:eastAsia="Times New Roman" w:hAnsi="Arial" w:cs="Arial"/>
          <w:color w:val="000000"/>
        </w:rPr>
      </w:pPr>
      <w:r w:rsidRPr="006C70DE">
        <w:rPr>
          <w:rFonts w:ascii="Arial" w:eastAsia="Times New Roman" w:hAnsi="Arial" w:cs="Arial"/>
          <w:color w:val="000000"/>
        </w:rPr>
        <w:t>Significantly, Congress established the credible fear standard as a low threshold that would ensure that all potentially meritorious claims receive a full hearing. To prevail at the credible fear stage, an applicant need only show a “significant possibility” of asylum eligibility – i.e., a “significant possibility” of a 1 in 10 chance of persecution, or a </w:t>
      </w:r>
      <w:r w:rsidRPr="006C70DE">
        <w:rPr>
          <w:rFonts w:ascii="Arial" w:eastAsia="Times New Roman" w:hAnsi="Arial" w:cs="Arial"/>
          <w:i/>
          <w:iCs/>
          <w:color w:val="000000"/>
        </w:rPr>
        <w:t>fraction</w:t>
      </w:r>
      <w:r w:rsidRPr="006C70DE">
        <w:rPr>
          <w:rFonts w:ascii="Arial" w:eastAsia="Times New Roman" w:hAnsi="Arial" w:cs="Arial"/>
          <w:color w:val="000000"/>
        </w:rPr>
        <w:t> of 10%. </w:t>
      </w:r>
      <w:r w:rsidRPr="006C70DE">
        <w:rPr>
          <w:rFonts w:ascii="Arial" w:eastAsia="Times New Roman" w:hAnsi="Arial" w:cs="Arial"/>
          <w:i/>
          <w:iCs/>
          <w:color w:val="000000"/>
        </w:rPr>
        <w:t>See</w:t>
      </w:r>
      <w:r w:rsidRPr="006C70DE">
        <w:rPr>
          <w:rFonts w:ascii="Arial" w:eastAsia="Times New Roman" w:hAnsi="Arial" w:cs="Arial"/>
          <w:color w:val="000000"/>
        </w:rPr>
        <w:t> 8 U.S.C. § 1225(b)(1)(B)(v); </w:t>
      </w:r>
      <w:r w:rsidRPr="006C70DE">
        <w:rPr>
          <w:rFonts w:ascii="Arial" w:eastAsia="Times New Roman" w:hAnsi="Arial" w:cs="Arial"/>
          <w:i/>
          <w:iCs/>
          <w:color w:val="000000"/>
        </w:rPr>
        <w:t>INS v. Cardoza-Fonseca</w:t>
      </w:r>
      <w:r w:rsidRPr="006C70DE">
        <w:rPr>
          <w:rFonts w:ascii="Arial" w:eastAsia="Times New Roman" w:hAnsi="Arial" w:cs="Arial"/>
          <w:color w:val="000000"/>
        </w:rPr>
        <w:t>, 480 U.S. 421, 440 (1987) (well-founded fear showing can be met with only 10% chance of persecution). That standard is “a low screening standard for admission into the usual full asylum process.” 142 CONG. REC. S11491 (daily ed. Sept. 27, 1996) (statement of Sen. Hatch, a principal sponsor); </w:t>
      </w:r>
      <w:r w:rsidRPr="006C70DE">
        <w:rPr>
          <w:rFonts w:ascii="Arial" w:eastAsia="Times New Roman" w:hAnsi="Arial" w:cs="Arial"/>
          <w:i/>
          <w:iCs/>
          <w:color w:val="000000"/>
        </w:rPr>
        <w:t>see also</w:t>
      </w:r>
      <w:r w:rsidRPr="006C70DE">
        <w:rPr>
          <w:rFonts w:ascii="Arial" w:eastAsia="Times New Roman" w:hAnsi="Arial" w:cs="Arial"/>
          <w:color w:val="000000"/>
        </w:rPr>
        <w:t xml:space="preserve"> Detention Following a Determination of Credible Fear, 62 Fed. Reg. 10,312, 10,320 (Mar. 6, 1997) (stating that credible fear is “a low threshold of proof of potential entitlement to asylum,” the purpose of which is to ensure access to a full hearing for all individuals who have such potential entitlement); H.R. REP. NO. 104-469, pt. 1, at 158 (1996) (Congress intended that “there should be </w:t>
      </w:r>
      <w:r w:rsidRPr="006C70DE">
        <w:rPr>
          <w:rFonts w:ascii="Arial" w:eastAsia="Times New Roman" w:hAnsi="Arial" w:cs="Arial"/>
          <w:color w:val="000000"/>
        </w:rPr>
        <w:lastRenderedPageBreak/>
        <w:t>no danger that an alien with a genuine asylum claim will be returned to persecution”); Pls. Prelim. Inj. Mem., Doc. 10-1 (“PI”) at 9-11.</w:t>
      </w:r>
    </w:p>
    <w:p w:rsidR="006C70DE" w:rsidRPr="006C70DE" w:rsidRDefault="006C70DE" w:rsidP="006C70DE">
      <w:pPr>
        <w:shd w:val="clear" w:color="auto" w:fill="FFFFFF"/>
        <w:rPr>
          <w:rFonts w:ascii="Arial" w:eastAsia="Times New Roman" w:hAnsi="Arial" w:cs="Arial"/>
          <w:color w:val="000000"/>
        </w:rPr>
      </w:pPr>
      <w:r w:rsidRPr="006C70DE">
        <w:rPr>
          <w:rFonts w:ascii="Arial" w:eastAsia="Times New Roman" w:hAnsi="Arial" w:cs="Arial"/>
          <w:color w:val="000000"/>
        </w:rPr>
        <w:t>Given this low statutory screening standard, “credible fear interviews are not designed to elicit all the details of an alien's claim[.]”' </w:t>
      </w:r>
      <w:r w:rsidRPr="006C70DE">
        <w:rPr>
          <w:rFonts w:ascii="Arial" w:eastAsia="Times New Roman" w:hAnsi="Arial" w:cs="Arial"/>
          <w:i/>
          <w:iCs/>
          <w:color w:val="000000"/>
        </w:rPr>
        <w:t>Zhang v. Holder</w:t>
      </w:r>
      <w:r w:rsidRPr="006C70DE">
        <w:rPr>
          <w:rFonts w:ascii="Arial" w:eastAsia="Times New Roman" w:hAnsi="Arial" w:cs="Arial"/>
          <w:color w:val="000000"/>
        </w:rPr>
        <w:t>, 585 F.3d 715, 724 (2d Cir. 2009); </w:t>
      </w:r>
      <w:r w:rsidRPr="006C70DE">
        <w:rPr>
          <w:rFonts w:ascii="Arial" w:eastAsia="Times New Roman" w:hAnsi="Arial" w:cs="Arial"/>
          <w:i/>
          <w:iCs/>
          <w:color w:val="000000"/>
        </w:rPr>
        <w:t>see also Ferreira v. Lynch</w:t>
      </w:r>
      <w:r w:rsidRPr="006C70DE">
        <w:rPr>
          <w:rFonts w:ascii="Arial" w:eastAsia="Times New Roman" w:hAnsi="Arial" w:cs="Arial"/>
          <w:color w:val="000000"/>
        </w:rPr>
        <w:t xml:space="preserve">, 831 F.3d 803, 809 (7th Cir. 2016) (per </w:t>
      </w:r>
      <w:proofErr w:type="spellStart"/>
      <w:r w:rsidRPr="006C70DE">
        <w:rPr>
          <w:rFonts w:ascii="Arial" w:eastAsia="Times New Roman" w:hAnsi="Arial" w:cs="Arial"/>
          <w:color w:val="000000"/>
        </w:rPr>
        <w:t>curiam</w:t>
      </w:r>
      <w:proofErr w:type="spellEnd"/>
      <w:r w:rsidRPr="006C70DE">
        <w:rPr>
          <w:rFonts w:ascii="Arial" w:eastAsia="Times New Roman" w:hAnsi="Arial" w:cs="Arial"/>
          <w:color w:val="000000"/>
        </w:rPr>
        <w:t>) (citing disclaimer on credible fear form that “[t]here may be areas of the individual's claim that were not explored or documented for purposes of this threshold screening”). The low threshold reflects that the credible fear interview typically occurs within days of arrival, while the applicant – who is frequently traumatized – is detained, unprepared, and unrepresented. </w:t>
      </w:r>
      <w:r w:rsidRPr="006C70DE">
        <w:rPr>
          <w:rFonts w:ascii="Arial" w:eastAsia="Times New Roman" w:hAnsi="Arial" w:cs="Arial"/>
          <w:i/>
          <w:iCs/>
          <w:color w:val="000000"/>
        </w:rPr>
        <w:t>Zhang</w:t>
      </w:r>
      <w:r w:rsidRPr="006C70DE">
        <w:rPr>
          <w:rFonts w:ascii="Arial" w:eastAsia="Times New Roman" w:hAnsi="Arial" w:cs="Arial"/>
          <w:color w:val="000000"/>
        </w:rPr>
        <w:t>, 585 F.3d at 724 (a detained “alien appearing at a credible fear interview … is … likely to be more unprepared, more vulnerable, and more wary of government officials than an asylum applicant who appears for an interview before immigration authorities well after arrival”); Pl. Fact 46, ABROP0623 (Declaration of Stuart Lustig) (“Lustig Decl.”), ¶ 8 (explaining that border interviews of asylum seekers that “occur in settings such as jails or detention centers” can trigger trauma reactions that make disclosing details difficult).</w:t>
      </w:r>
      <w:r w:rsidRPr="006C70DE">
        <w:rPr>
          <w:rFonts w:ascii="Arial" w:eastAsia="Times New Roman" w:hAnsi="Arial" w:cs="Arial"/>
          <w:color w:val="000000"/>
          <w:vertAlign w:val="superscript"/>
        </w:rPr>
        <w:t>1</w:t>
      </w:r>
    </w:p>
    <w:p w:rsidR="006C70DE" w:rsidRPr="006C70DE" w:rsidRDefault="006C70DE" w:rsidP="006C70DE">
      <w:pPr>
        <w:shd w:val="clear" w:color="auto" w:fill="FFFFFF"/>
        <w:jc w:val="center"/>
        <w:rPr>
          <w:rFonts w:ascii="Arial" w:eastAsia="Times New Roman" w:hAnsi="Arial" w:cs="Arial"/>
          <w:color w:val="000000"/>
        </w:rPr>
      </w:pPr>
      <w:r w:rsidRPr="006C70DE">
        <w:rPr>
          <w:rFonts w:ascii="Arial" w:eastAsia="Times New Roman" w:hAnsi="Arial" w:cs="Arial"/>
          <w:b/>
          <w:bCs/>
          <w:color w:val="000000"/>
        </w:rPr>
        <w:t>B. Asylum Framework</w:t>
      </w:r>
    </w:p>
    <w:p w:rsidR="006C70DE" w:rsidRPr="006C70DE" w:rsidRDefault="006C70DE" w:rsidP="006C70DE">
      <w:pPr>
        <w:rPr>
          <w:rFonts w:ascii="Times New Roman" w:eastAsia="Times New Roman" w:hAnsi="Times New Roman" w:cs="Times New Roman"/>
        </w:rPr>
      </w:pPr>
      <w:r w:rsidRPr="006C70DE">
        <w:rPr>
          <w:rFonts w:ascii="Arial" w:eastAsia="Times New Roman" w:hAnsi="Arial" w:cs="Arial"/>
          <w:color w:val="000000"/>
        </w:rPr>
        <w:br/>
      </w:r>
    </w:p>
    <w:p w:rsidR="006C70DE" w:rsidRPr="006C70DE" w:rsidRDefault="006C70DE" w:rsidP="006C70DE">
      <w:pPr>
        <w:shd w:val="clear" w:color="auto" w:fill="FFFFFF"/>
        <w:rPr>
          <w:rFonts w:ascii="Arial" w:eastAsia="Times New Roman" w:hAnsi="Arial" w:cs="Arial"/>
          <w:color w:val="000000"/>
        </w:rPr>
      </w:pPr>
      <w:r w:rsidRPr="006C70DE">
        <w:rPr>
          <w:rFonts w:ascii="Arial" w:eastAsia="Times New Roman" w:hAnsi="Arial" w:cs="Arial"/>
          <w:color w:val="000000"/>
        </w:rPr>
        <w:t>GRACE, et al., Plaintiffs, v. JEFFERSON BEAUREGARD SESSIONS, III, Attorney General of the United States, et al., Defendants., 2018 WL 6716139 (</w:t>
      </w:r>
      <w:proofErr w:type="spellStart"/>
      <w:r w:rsidRPr="006C70DE">
        <w:rPr>
          <w:rFonts w:ascii="Arial" w:eastAsia="Times New Roman" w:hAnsi="Arial" w:cs="Arial"/>
          <w:color w:val="000000"/>
        </w:rPr>
        <w:t>D.D.C</w:t>
      </w:r>
      <w:proofErr w:type="spellEnd"/>
      <w:r w:rsidRPr="006C70DE">
        <w:rPr>
          <w:rFonts w:ascii="Arial" w:eastAsia="Times New Roman" w:hAnsi="Arial" w:cs="Arial"/>
          <w:color w:val="000000"/>
        </w:rPr>
        <w:t>.)</w:t>
      </w:r>
    </w:p>
    <w:p w:rsidR="002D0EA1" w:rsidRDefault="002D0EA1"/>
    <w:sectPr w:rsidR="002D0EA1" w:rsidSect="00D76A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DE"/>
    <w:rsid w:val="002D0EA1"/>
    <w:rsid w:val="003219CA"/>
    <w:rsid w:val="006C70DE"/>
    <w:rsid w:val="00975326"/>
    <w:rsid w:val="00A07AD1"/>
    <w:rsid w:val="00C30C83"/>
    <w:rsid w:val="00C70DA9"/>
    <w:rsid w:val="00CF462B"/>
    <w:rsid w:val="00D76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4114"/>
  <w15:chartTrackingRefBased/>
  <w15:docId w15:val="{1620B21E-27FE-B348-A20E-30B9D0FE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C70DE"/>
  </w:style>
  <w:style w:type="character" w:styleId="Emphasis">
    <w:name w:val="Emphasis"/>
    <w:basedOn w:val="DefaultParagraphFont"/>
    <w:uiPriority w:val="20"/>
    <w:qFormat/>
    <w:rsid w:val="006C70DE"/>
    <w:rPr>
      <w:i/>
      <w:iCs/>
    </w:rPr>
  </w:style>
  <w:style w:type="character" w:styleId="Strong">
    <w:name w:val="Strong"/>
    <w:basedOn w:val="DefaultParagraphFont"/>
    <w:uiPriority w:val="22"/>
    <w:qFormat/>
    <w:rsid w:val="006C70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376069">
      <w:bodyDiv w:val="1"/>
      <w:marLeft w:val="0"/>
      <w:marRight w:val="0"/>
      <w:marTop w:val="0"/>
      <w:marBottom w:val="0"/>
      <w:divBdr>
        <w:top w:val="none" w:sz="0" w:space="0" w:color="auto"/>
        <w:left w:val="none" w:sz="0" w:space="0" w:color="auto"/>
        <w:bottom w:val="none" w:sz="0" w:space="0" w:color="auto"/>
        <w:right w:val="none" w:sz="0" w:space="0" w:color="auto"/>
      </w:divBdr>
      <w:divsChild>
        <w:div w:id="1283151955">
          <w:marLeft w:val="0"/>
          <w:marRight w:val="0"/>
          <w:marTop w:val="240"/>
          <w:marBottom w:val="0"/>
          <w:divBdr>
            <w:top w:val="none" w:sz="0" w:space="0" w:color="auto"/>
            <w:left w:val="none" w:sz="0" w:space="0" w:color="auto"/>
            <w:bottom w:val="none" w:sz="0" w:space="0" w:color="auto"/>
            <w:right w:val="none" w:sz="0" w:space="0" w:color="auto"/>
          </w:divBdr>
          <w:divsChild>
            <w:div w:id="1295914417">
              <w:marLeft w:val="0"/>
              <w:marRight w:val="0"/>
              <w:marTop w:val="0"/>
              <w:marBottom w:val="0"/>
              <w:divBdr>
                <w:top w:val="none" w:sz="0" w:space="0" w:color="auto"/>
                <w:left w:val="none" w:sz="0" w:space="0" w:color="auto"/>
                <w:bottom w:val="none" w:sz="0" w:space="0" w:color="auto"/>
                <w:right w:val="none" w:sz="0" w:space="0" w:color="auto"/>
              </w:divBdr>
              <w:divsChild>
                <w:div w:id="552740278">
                  <w:marLeft w:val="0"/>
                  <w:marRight w:val="0"/>
                  <w:marTop w:val="0"/>
                  <w:marBottom w:val="0"/>
                  <w:divBdr>
                    <w:top w:val="none" w:sz="0" w:space="0" w:color="auto"/>
                    <w:left w:val="none" w:sz="0" w:space="0" w:color="auto"/>
                    <w:bottom w:val="none" w:sz="0" w:space="0" w:color="auto"/>
                    <w:right w:val="none" w:sz="0" w:space="0" w:color="auto"/>
                  </w:divBdr>
                </w:div>
              </w:divsChild>
            </w:div>
            <w:div w:id="1223295629">
              <w:marLeft w:val="0"/>
              <w:marRight w:val="0"/>
              <w:marTop w:val="240"/>
              <w:marBottom w:val="0"/>
              <w:divBdr>
                <w:top w:val="none" w:sz="0" w:space="0" w:color="auto"/>
                <w:left w:val="none" w:sz="0" w:space="0" w:color="auto"/>
                <w:bottom w:val="none" w:sz="0" w:space="0" w:color="auto"/>
                <w:right w:val="none" w:sz="0" w:space="0" w:color="auto"/>
              </w:divBdr>
              <w:divsChild>
                <w:div w:id="1105542303">
                  <w:marLeft w:val="0"/>
                  <w:marRight w:val="0"/>
                  <w:marTop w:val="0"/>
                  <w:marBottom w:val="0"/>
                  <w:divBdr>
                    <w:top w:val="none" w:sz="0" w:space="0" w:color="auto"/>
                    <w:left w:val="none" w:sz="0" w:space="0" w:color="auto"/>
                    <w:bottom w:val="none" w:sz="0" w:space="0" w:color="auto"/>
                    <w:right w:val="none" w:sz="0" w:space="0" w:color="auto"/>
                  </w:divBdr>
                </w:div>
              </w:divsChild>
            </w:div>
            <w:div w:id="1469010612">
              <w:marLeft w:val="0"/>
              <w:marRight w:val="0"/>
              <w:marTop w:val="240"/>
              <w:marBottom w:val="0"/>
              <w:divBdr>
                <w:top w:val="none" w:sz="0" w:space="0" w:color="auto"/>
                <w:left w:val="none" w:sz="0" w:space="0" w:color="auto"/>
                <w:bottom w:val="none" w:sz="0" w:space="0" w:color="auto"/>
                <w:right w:val="none" w:sz="0" w:space="0" w:color="auto"/>
              </w:divBdr>
              <w:divsChild>
                <w:div w:id="1696617623">
                  <w:marLeft w:val="0"/>
                  <w:marRight w:val="0"/>
                  <w:marTop w:val="0"/>
                  <w:marBottom w:val="0"/>
                  <w:divBdr>
                    <w:top w:val="none" w:sz="0" w:space="0" w:color="auto"/>
                    <w:left w:val="none" w:sz="0" w:space="0" w:color="auto"/>
                    <w:bottom w:val="none" w:sz="0" w:space="0" w:color="auto"/>
                    <w:right w:val="none" w:sz="0" w:space="0" w:color="auto"/>
                  </w:divBdr>
                </w:div>
              </w:divsChild>
            </w:div>
            <w:div w:id="448623886">
              <w:marLeft w:val="0"/>
              <w:marRight w:val="0"/>
              <w:marTop w:val="240"/>
              <w:marBottom w:val="0"/>
              <w:divBdr>
                <w:top w:val="none" w:sz="0" w:space="0" w:color="auto"/>
                <w:left w:val="none" w:sz="0" w:space="0" w:color="auto"/>
                <w:bottom w:val="none" w:sz="0" w:space="0" w:color="auto"/>
                <w:right w:val="none" w:sz="0" w:space="0" w:color="auto"/>
              </w:divBdr>
              <w:divsChild>
                <w:div w:id="1976982338">
                  <w:marLeft w:val="0"/>
                  <w:marRight w:val="0"/>
                  <w:marTop w:val="0"/>
                  <w:marBottom w:val="0"/>
                  <w:divBdr>
                    <w:top w:val="none" w:sz="0" w:space="0" w:color="auto"/>
                    <w:left w:val="none" w:sz="0" w:space="0" w:color="auto"/>
                    <w:bottom w:val="none" w:sz="0" w:space="0" w:color="auto"/>
                    <w:right w:val="none" w:sz="0" w:space="0" w:color="auto"/>
                  </w:divBdr>
                </w:div>
              </w:divsChild>
            </w:div>
            <w:div w:id="215899086">
              <w:marLeft w:val="0"/>
              <w:marRight w:val="0"/>
              <w:marTop w:val="240"/>
              <w:marBottom w:val="0"/>
              <w:divBdr>
                <w:top w:val="none" w:sz="0" w:space="0" w:color="auto"/>
                <w:left w:val="none" w:sz="0" w:space="0" w:color="auto"/>
                <w:bottom w:val="none" w:sz="0" w:space="0" w:color="auto"/>
                <w:right w:val="none" w:sz="0" w:space="0" w:color="auto"/>
              </w:divBdr>
              <w:divsChild>
                <w:div w:id="1382948269">
                  <w:marLeft w:val="0"/>
                  <w:marRight w:val="0"/>
                  <w:marTop w:val="0"/>
                  <w:marBottom w:val="0"/>
                  <w:divBdr>
                    <w:top w:val="none" w:sz="0" w:space="0" w:color="auto"/>
                    <w:left w:val="none" w:sz="0" w:space="0" w:color="auto"/>
                    <w:bottom w:val="none" w:sz="0" w:space="0" w:color="auto"/>
                    <w:right w:val="none" w:sz="0" w:space="0" w:color="auto"/>
                  </w:divBdr>
                </w:div>
              </w:divsChild>
            </w:div>
            <w:div w:id="1762070488">
              <w:marLeft w:val="0"/>
              <w:marRight w:val="0"/>
              <w:marTop w:val="240"/>
              <w:marBottom w:val="0"/>
              <w:divBdr>
                <w:top w:val="none" w:sz="0" w:space="0" w:color="auto"/>
                <w:left w:val="none" w:sz="0" w:space="0" w:color="auto"/>
                <w:bottom w:val="none" w:sz="0" w:space="0" w:color="auto"/>
                <w:right w:val="none" w:sz="0" w:space="0" w:color="auto"/>
              </w:divBdr>
              <w:divsChild>
                <w:div w:id="147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468866">
          <w:marLeft w:val="0"/>
          <w:marRight w:val="0"/>
          <w:marTop w:val="240"/>
          <w:marBottom w:val="0"/>
          <w:divBdr>
            <w:top w:val="none" w:sz="0" w:space="0" w:color="auto"/>
            <w:left w:val="none" w:sz="0" w:space="0" w:color="auto"/>
            <w:bottom w:val="none" w:sz="0" w:space="0" w:color="auto"/>
            <w:right w:val="none" w:sz="0" w:space="0" w:color="auto"/>
          </w:divBdr>
          <w:divsChild>
            <w:div w:id="42396407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824</Words>
  <Characters>4428</Characters>
  <Application>Microsoft Office Word</Application>
  <DocSecurity>0</DocSecurity>
  <Lines>66</Lines>
  <Paragraphs>8</Paragraphs>
  <ScaleCrop>false</ScaleCrop>
  <HeadingPairs>
    <vt:vector size="2" baseType="variant">
      <vt:variant>
        <vt:lpstr>Title</vt:lpstr>
      </vt:variant>
      <vt:variant>
        <vt:i4>1</vt:i4>
      </vt:variant>
    </vt:vector>
  </HeadingPairs>
  <TitlesOfParts>
    <vt:vector size="1" baseType="lpstr">
      <vt:lpstr/>
    </vt:vector>
  </TitlesOfParts>
  <Manager/>
  <Company>Law Office of William Frick</Company>
  <LinksUpToDate>false</LinksUpToDate>
  <CharactersWithSpaces>5248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1</cp:revision>
  <dcterms:created xsi:type="dcterms:W3CDTF">2019-09-27T01:35:00Z</dcterms:created>
  <dcterms:modified xsi:type="dcterms:W3CDTF">2019-09-27T03:46:00Z</dcterms:modified>
  <cp:category/>
</cp:coreProperties>
</file>